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color w:val="auto"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center"/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>Brain Heart Infusion Agar</w:t>
      </w: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ascii="TimesNewRoman" w:hAnsi="TimesNewRoman" w:eastAsia="TimesNewRoman" w:cs="TimesNewRoman"/>
                <w:b/>
                <w:bCs/>
                <w:color w:val="auto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105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028361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25</w:t>
            </w:r>
            <w:r>
              <w:rPr>
                <w:color w:val="auto"/>
                <w:kern w:val="0"/>
                <w:szCs w:val="21"/>
              </w:rPr>
              <w:t>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ind w:right="27" w:rightChars="13"/>
        <w:rPr>
          <w:rFonts w:hint="eastAsia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>For the cultivation of a wide variety of fastidious organisms.</w:t>
      </w:r>
    </w:p>
    <w:p>
      <w:pPr>
        <w:spacing w:line="320" w:lineRule="exact"/>
        <w:ind w:right="27" w:rightChars="13"/>
        <w:rPr>
          <w:rFonts w:hint="eastAsia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ind w:right="27" w:rightChars="13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>The peptones and infusion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>are sources of organic nitrogen, carbon, sulfur, vitamins and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trace substances. </w:t>
      </w:r>
      <w:r>
        <w:rPr>
          <w:bCs/>
          <w:color w:val="000000"/>
          <w:szCs w:val="21"/>
        </w:rPr>
        <w:t>Glucose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 is a carbohydrate source that</w:t>
      </w:r>
      <w:r>
        <w:rPr>
          <w:rFonts w:hint="default" w:eastAsia="微软雅黑"/>
          <w:color w:val="auto"/>
          <w:szCs w:val="21"/>
          <w:lang w:eastAsia="zh-CN"/>
        </w:rPr>
        <w:t xml:space="preserve"> microorganisms utilize by fermentative action. The medium is buffered through the use of disodium phosphate.</w:t>
      </w:r>
    </w:p>
    <w:p>
      <w:pPr>
        <w:spacing w:line="320" w:lineRule="exact"/>
        <w:ind w:right="27" w:rightChars="13"/>
        <w:rPr>
          <w:rFonts w:hint="eastAsia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Dehydrated </w:t>
            </w:r>
            <w:r>
              <w:rPr>
                <w:rFonts w:hint="eastAsia"/>
                <w:bCs/>
                <w:color w:val="000000"/>
                <w:szCs w:val="21"/>
              </w:rPr>
              <w:t>c</w:t>
            </w:r>
            <w:r>
              <w:rPr>
                <w:bCs/>
                <w:color w:val="000000"/>
                <w:szCs w:val="21"/>
              </w:rPr>
              <w:t>alf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b</w:t>
            </w:r>
            <w:r>
              <w:rPr>
                <w:bCs/>
                <w:color w:val="000000"/>
                <w:szCs w:val="21"/>
              </w:rPr>
              <w:t xml:space="preserve">rain </w:t>
            </w:r>
            <w:r>
              <w:rPr>
                <w:rFonts w:hint="eastAsia"/>
                <w:bCs/>
                <w:color w:val="000000"/>
                <w:szCs w:val="21"/>
              </w:rPr>
              <w:t>i</w:t>
            </w:r>
            <w:r>
              <w:rPr>
                <w:bCs/>
                <w:color w:val="000000"/>
                <w:szCs w:val="21"/>
              </w:rPr>
              <w:t>nfusion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12.5</w:t>
            </w:r>
            <w:r>
              <w:rPr>
                <w:bCs/>
                <w:color w:val="000000"/>
                <w:szCs w:val="21"/>
              </w:rPr>
              <w:t>g</w:t>
            </w:r>
            <w:r>
              <w:rPr>
                <w:rFonts w:hint="eastAsia"/>
                <w:bCs/>
                <w:color w:val="000000"/>
                <w:szCs w:val="21"/>
              </w:rPr>
              <w:t>*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Dehydrated </w:t>
            </w:r>
            <w:r>
              <w:rPr>
                <w:rFonts w:hint="eastAsia"/>
                <w:bCs/>
                <w:color w:val="000000"/>
                <w:szCs w:val="21"/>
              </w:rPr>
              <w:t>b</w:t>
            </w:r>
            <w:r>
              <w:rPr>
                <w:bCs/>
                <w:color w:val="000000"/>
                <w:szCs w:val="21"/>
              </w:rPr>
              <w:t>eef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h</w:t>
            </w:r>
            <w:r>
              <w:rPr>
                <w:bCs/>
                <w:color w:val="000000"/>
                <w:szCs w:val="21"/>
              </w:rPr>
              <w:t>eart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i</w:t>
            </w:r>
            <w:r>
              <w:rPr>
                <w:bCs/>
                <w:color w:val="000000"/>
                <w:szCs w:val="21"/>
              </w:rPr>
              <w:t>nfusion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5.0g**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Enzymatic </w:t>
            </w:r>
            <w:r>
              <w:rPr>
                <w:rFonts w:hint="eastAsia"/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>igest of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a</w:t>
            </w:r>
            <w:r>
              <w:rPr>
                <w:bCs/>
                <w:color w:val="000000"/>
                <w:szCs w:val="21"/>
              </w:rPr>
              <w:t xml:space="preserve">nimal </w:t>
            </w:r>
            <w:r>
              <w:rPr>
                <w:rFonts w:hint="eastAsia"/>
                <w:bCs/>
                <w:color w:val="000000"/>
                <w:szCs w:val="21"/>
              </w:rPr>
              <w:t>t</w:t>
            </w:r>
            <w:r>
              <w:rPr>
                <w:bCs/>
                <w:color w:val="000000"/>
                <w:szCs w:val="21"/>
              </w:rPr>
              <w:t xml:space="preserve">issues </w:t>
            </w:r>
            <w:r>
              <w:rPr>
                <w:rFonts w:hint="eastAsia"/>
                <w:bCs/>
                <w:color w:val="000000"/>
                <w:szCs w:val="21"/>
              </w:rPr>
              <w:t>(</w:t>
            </w:r>
            <w:r>
              <w:rPr>
                <w:bCs/>
                <w:color w:val="000000"/>
                <w:szCs w:val="21"/>
              </w:rPr>
              <w:t>Peptone</w:t>
            </w:r>
            <w:r>
              <w:rPr>
                <w:rFonts w:hint="eastAsia"/>
                <w:bCs/>
                <w:color w:val="000000"/>
                <w:szCs w:val="21"/>
              </w:rPr>
              <w:t>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10.0g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Sodium chloride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Glucose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Disodium hydrogen phosphate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2.5g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Agar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default"/>
                <w:bCs/>
                <w:color w:val="000000"/>
                <w:szCs w:val="21"/>
              </w:rPr>
              <w:t>15.0g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7.4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ind w:firstLine="105" w:firstLineChars="50"/>
        <w:rPr>
          <w:bCs/>
          <w:color w:val="000000"/>
          <w:szCs w:val="21"/>
        </w:rPr>
      </w:pPr>
      <w:bookmarkStart w:id="0" w:name="_Hlk182473053"/>
      <w:r>
        <w:rPr>
          <w:rFonts w:hint="eastAsia"/>
          <w:szCs w:val="21"/>
        </w:rPr>
        <w:t>*</w:t>
      </w:r>
      <w:r>
        <w:rPr>
          <w:szCs w:val="21"/>
        </w:rPr>
        <w:t>Equivalent to</w:t>
      </w:r>
      <w:r>
        <w:t xml:space="preserve"> </w:t>
      </w:r>
      <w:r>
        <w:rPr>
          <w:szCs w:val="21"/>
        </w:rPr>
        <w:t>calf brain, infusion from 200g</w:t>
      </w:r>
      <w:r>
        <w:rPr>
          <w:rFonts w:hint="eastAsia"/>
          <w:szCs w:val="21"/>
        </w:rPr>
        <w:t>, **</w:t>
      </w:r>
      <w:r>
        <w:rPr>
          <w:szCs w:val="21"/>
        </w:rPr>
        <w:t xml:space="preserve"> Equivalent to</w:t>
      </w:r>
      <w:r>
        <w:rPr>
          <w:rFonts w:hint="eastAsia"/>
          <w:bCs/>
          <w:color w:val="000000"/>
          <w:szCs w:val="21"/>
        </w:rPr>
        <w:t xml:space="preserve"> b</w:t>
      </w:r>
      <w:r>
        <w:rPr>
          <w:bCs/>
          <w:color w:val="000000"/>
          <w:szCs w:val="21"/>
        </w:rPr>
        <w:t>eef</w:t>
      </w:r>
      <w:r>
        <w:rPr>
          <w:rFonts w:hint="eastAsia"/>
          <w:bCs/>
          <w:color w:val="000000"/>
          <w:szCs w:val="21"/>
        </w:rPr>
        <w:t xml:space="preserve"> h</w:t>
      </w:r>
      <w:r>
        <w:rPr>
          <w:bCs/>
          <w:color w:val="000000"/>
          <w:szCs w:val="21"/>
        </w:rPr>
        <w:t>eart</w:t>
      </w:r>
      <w:r>
        <w:rPr>
          <w:rFonts w:hint="eastAsia"/>
          <w:bCs/>
          <w:color w:val="000000"/>
          <w:szCs w:val="21"/>
        </w:rPr>
        <w:t xml:space="preserve">, </w:t>
      </w:r>
      <w:r>
        <w:rPr>
          <w:bCs/>
          <w:color w:val="000000"/>
          <w:szCs w:val="21"/>
        </w:rPr>
        <w:t>Infusion from 250g</w:t>
      </w:r>
      <w:r>
        <w:rPr>
          <w:rFonts w:hint="eastAsia"/>
          <w:bCs/>
          <w:color w:val="000000"/>
          <w:szCs w:val="21"/>
        </w:rPr>
        <w:t>.</w:t>
      </w:r>
      <w:bookmarkEnd w:id="0"/>
    </w:p>
    <w:p>
      <w:pPr>
        <w:spacing w:line="320" w:lineRule="exact"/>
        <w:rPr>
          <w:b/>
          <w:bCs/>
          <w:color w:val="auto"/>
          <w:szCs w:val="21"/>
        </w:rPr>
      </w:pPr>
      <w:bookmarkStart w:id="1" w:name="_GoBack"/>
      <w:bookmarkEnd w:id="1"/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ind w:right="27" w:rightChars="13"/>
        <w:rPr>
          <w:rFonts w:hint="eastAsia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>Weigh 52g of dry powder of this product, add 1L of distilled water or deionized water, stir, heat and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eastAsia" w:eastAsia="微软雅黑"/>
          <w:color w:val="auto"/>
          <w:szCs w:val="21"/>
          <w:lang w:val="en-US" w:eastAsia="zh-CN"/>
        </w:rPr>
        <w:t xml:space="preserve">boil until </w:t>
      </w:r>
      <w:r>
        <w:rPr>
          <w:rFonts w:hint="default" w:eastAsia="微软雅黑"/>
          <w:color w:val="auto"/>
          <w:szCs w:val="21"/>
          <w:lang w:val="en-US" w:eastAsia="zh-CN"/>
        </w:rPr>
        <w:t>completely dissolved, sterilize at 121</w:t>
      </w:r>
      <w:r>
        <w:rPr>
          <w:rFonts w:hint="eastAsia" w:eastAsia="微软雅黑"/>
          <w:color w:val="auto"/>
          <w:szCs w:val="21"/>
          <w:lang w:val="en-US" w:eastAsia="zh-CN"/>
        </w:rPr>
        <w:t xml:space="preserve">℃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for 15min, cool to room temperature and set aside. </w:t>
      </w: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right="227" w:rightChars="108" w:firstLine="105" w:firstLineChars="50"/>
        <w:rPr>
          <w:rFonts w:hint="eastAsia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 xml:space="preserve">The following quality control strains were inoculated and cultured at 35-37℃ </w:t>
      </w:r>
      <w:r>
        <w:rPr>
          <w:rFonts w:hint="default" w:eastAsia="微软雅黑"/>
          <w:color w:val="auto"/>
          <w:szCs w:val="21"/>
          <w:lang w:val="en-US" w:eastAsia="zh-CN"/>
        </w:rPr>
        <w:t>for 24h. The results are as follows: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2033"/>
        <w:gridCol w:w="3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4083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2033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hint="eastAsia" w:eastAsia="微软雅黑"/>
                <w:b/>
                <w:bCs/>
                <w:color w:val="auto"/>
                <w:szCs w:val="21"/>
                <w:lang w:val="en-US" w:eastAsia="zh-CN"/>
              </w:rPr>
              <w:t>Standard value</w:t>
            </w:r>
          </w:p>
        </w:tc>
        <w:tc>
          <w:tcPr>
            <w:tcW w:w="3514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hint="eastAsia" w:eastAsia="微软雅黑"/>
                <w:b/>
                <w:bCs/>
                <w:color w:val="auto"/>
                <w:szCs w:val="21"/>
                <w:lang w:val="en-US" w:eastAsia="zh-CN"/>
              </w:rPr>
              <w:t>Characteristic reaction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083" w:type="dxa"/>
            <w:shd w:val="clear" w:color="auto" w:fill="FFFFFF"/>
            <w:vAlign w:val="center"/>
          </w:tcPr>
          <w:p>
            <w:pPr>
              <w:spacing w:line="320" w:lineRule="exact"/>
              <w:ind w:right="86" w:rightChars="41" w:firstLine="105" w:firstLineChars="50"/>
              <w:rPr>
                <w:rFonts w:eastAsia="微软雅黑"/>
                <w:color w:val="auto"/>
                <w:szCs w:val="21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>Streptococcus pyogenes</w:t>
            </w: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eastAsia="zh-CN"/>
              </w:rPr>
              <w:t xml:space="preserve"> </w:t>
            </w:r>
            <w:r>
              <w:rPr>
                <w:rFonts w:eastAsia="微软雅黑"/>
                <w:color w:val="auto"/>
                <w:szCs w:val="21"/>
              </w:rPr>
              <w:t>ATCC21059</w:t>
            </w:r>
          </w:p>
        </w:tc>
        <w:tc>
          <w:tcPr>
            <w:tcW w:w="2033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right="67" w:rightChars="32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PR≥0.7</w:t>
            </w:r>
          </w:p>
        </w:tc>
        <w:tc>
          <w:tcPr>
            <w:tcW w:w="3514" w:type="dxa"/>
            <w:shd w:val="clear" w:color="auto" w:fill="FFFFFF"/>
            <w:vAlign w:val="center"/>
          </w:tcPr>
          <w:p>
            <w:pPr>
              <w:spacing w:line="320" w:lineRule="exact"/>
              <w:ind w:right="556" w:rightChars="265" w:firstLine="105" w:firstLineChars="50"/>
              <w:jc w:val="center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 xml:space="preserve">    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Grayish white colonies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4083" w:type="dxa"/>
            <w:shd w:val="clear" w:color="auto" w:fill="FFFFFF"/>
            <w:vAlign w:val="center"/>
          </w:tcPr>
          <w:p>
            <w:pPr>
              <w:spacing w:line="320" w:lineRule="exact"/>
              <w:ind w:right="86" w:rightChars="41" w:firstLine="105" w:firstLineChars="50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Enterococcus faecalis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  <w:t>ATCC29212</w:t>
            </w:r>
          </w:p>
        </w:tc>
        <w:tc>
          <w:tcPr>
            <w:tcW w:w="2033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ind w:right="86" w:rightChars="41" w:firstLine="105" w:firstLineChars="50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3514" w:type="dxa"/>
            <w:shd w:val="clear" w:color="auto" w:fill="FFFFFF"/>
            <w:vAlign w:val="center"/>
          </w:tcPr>
          <w:p>
            <w:pPr>
              <w:spacing w:line="320" w:lineRule="exact"/>
              <w:ind w:right="86" w:rightChars="41" w:firstLine="735" w:firstLineChars="350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  <w:t>Grayish white colonies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</w:trPr>
        <w:tc>
          <w:tcPr>
            <w:tcW w:w="4083" w:type="dxa"/>
            <w:shd w:val="clear" w:color="auto" w:fill="FFFFFF"/>
            <w:vAlign w:val="center"/>
          </w:tcPr>
          <w:p>
            <w:pPr>
              <w:spacing w:line="320" w:lineRule="exact"/>
              <w:ind w:right="86" w:rightChars="41" w:firstLine="105" w:firstLineChars="50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Escherichia coli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  <w:t>ATCC25922</w:t>
            </w:r>
          </w:p>
        </w:tc>
        <w:tc>
          <w:tcPr>
            <w:tcW w:w="2033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ind w:right="86" w:rightChars="41" w:firstLine="105" w:firstLineChars="50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3514" w:type="dxa"/>
            <w:shd w:val="clear" w:color="auto" w:fill="FFFFFF"/>
            <w:vAlign w:val="center"/>
          </w:tcPr>
          <w:p>
            <w:pPr>
              <w:spacing w:line="320" w:lineRule="exact"/>
              <w:ind w:right="86" w:rightChars="41" w:firstLine="840" w:firstLineChars="400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Cs w:val="21"/>
                <w:lang w:val="en-US" w:eastAsia="zh-CN"/>
              </w:rPr>
              <w:t>Grayish white colonies</w:t>
            </w:r>
          </w:p>
        </w:tc>
      </w:tr>
    </w:tbl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autoSpaceDE w:val="0"/>
        <w:autoSpaceDN w:val="0"/>
        <w:adjustRightInd w:val="0"/>
        <w:ind w:firstLine="105" w:firstLineChars="50"/>
        <w:jc w:val="left"/>
        <w:rPr>
          <w:rFonts w:eastAsia="微软雅黑"/>
          <w:szCs w:val="21"/>
        </w:rPr>
      </w:pPr>
      <w:r>
        <w:rPr>
          <w:rFonts w:eastAsia="微软雅黑"/>
          <w:szCs w:val="21"/>
        </w:rPr>
        <w:t>ISO 6888-1 2020</w:t>
      </w:r>
    </w:p>
    <w:p>
      <w:pPr>
        <w:autoSpaceDE w:val="0"/>
        <w:autoSpaceDN w:val="0"/>
        <w:adjustRightInd w:val="0"/>
        <w:ind w:firstLine="105" w:firstLineChars="50"/>
        <w:jc w:val="left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BAM Media M24</w:t>
      </w:r>
    </w:p>
    <w:p>
      <w:pPr>
        <w:spacing w:line="320" w:lineRule="exact"/>
        <w:ind w:right="985" w:rightChars="469" w:firstLine="105" w:firstLineChars="50"/>
        <w:rPr>
          <w:rFonts w:hint="default" w:eastAsia="微软雅黑"/>
          <w:color w:val="auto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FzBookMaker7DlFont7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wHannyaotamesi">
    <w:altName w:val="Hiragino Sans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abon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6054725" cy="688975"/>
          <wp:effectExtent l="0" t="0" r="3175" b="9525"/>
          <wp:docPr id="1026059736" name="图片 3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59736" name="图片 3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47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微软雅黑" w:hAnsi="微软雅黑" w:eastAsia="微软雅黑" w:cs="微软雅黑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4582160</wp:posOffset>
          </wp:positionH>
          <wp:positionV relativeFrom="paragraph">
            <wp:posOffset>5080</wp:posOffset>
          </wp:positionV>
          <wp:extent cx="1371600" cy="763905"/>
          <wp:effectExtent l="0" t="0" r="0" b="0"/>
          <wp:wrapNone/>
          <wp:docPr id="61891113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91113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2FC91DCD"/>
    <w:rsid w:val="3B6B0731"/>
    <w:rsid w:val="3ED72AC9"/>
    <w:rsid w:val="489C4AEB"/>
    <w:rsid w:val="4FED4B53"/>
    <w:rsid w:val="51A13431"/>
    <w:rsid w:val="53405885"/>
    <w:rsid w:val="54CE1B63"/>
    <w:rsid w:val="5CAD4BEC"/>
    <w:rsid w:val="60C14A11"/>
    <w:rsid w:val="6FEFC400"/>
    <w:rsid w:val="7C8D2AD0"/>
    <w:rsid w:val="7DBFCEC6"/>
    <w:rsid w:val="FFFFE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2169</Characters>
  <Lines>14</Lines>
  <Paragraphs>4</Paragraphs>
  <TotalTime>0</TotalTime>
  <ScaleCrop>false</ScaleCrop>
  <LinksUpToDate>false</LinksUpToDate>
  <CharactersWithSpaces>2482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2024-12-09T18:14:37Z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