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9E31">
      <w:pPr>
        <w:spacing w:line="320" w:lineRule="exact"/>
        <w:ind w:firstLine="1970" w:firstLineChars="545"/>
        <w:rPr>
          <w:b/>
          <w:bCs/>
          <w:sz w:val="36"/>
          <w:szCs w:val="36"/>
        </w:rPr>
      </w:pPr>
    </w:p>
    <w:p w14:paraId="0A94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eastAsia="微软雅黑"/>
          <w:b/>
          <w:bCs/>
          <w:sz w:val="36"/>
          <w:szCs w:val="36"/>
        </w:rPr>
      </w:pPr>
      <w:r>
        <w:rPr>
          <w:rFonts w:eastAsia="微软雅黑"/>
          <w:b/>
          <w:bCs/>
          <w:sz w:val="36"/>
          <w:szCs w:val="36"/>
        </w:rPr>
        <w:t>Lauryl Sulfate Tryptose Broth</w:t>
      </w:r>
    </w:p>
    <w:p w14:paraId="7A967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微软雅黑"/>
          <w:b/>
          <w:bCs/>
          <w:sz w:val="36"/>
          <w:szCs w:val="36"/>
        </w:rPr>
      </w:pPr>
    </w:p>
    <w:tbl>
      <w:tblPr>
        <w:tblStyle w:val="7"/>
        <w:tblW w:w="9525" w:type="dxa"/>
        <w:tblInd w:w="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3174"/>
        <w:gridCol w:w="3272"/>
      </w:tblGrid>
      <w:tr w14:paraId="1B2A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9" w:type="dxa"/>
          </w:tcPr>
          <w:p w14:paraId="7A524495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 w14:paraId="161D9F29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272" w:type="dxa"/>
          </w:tcPr>
          <w:p w14:paraId="2C27C08C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 w14:paraId="7460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9" w:type="dxa"/>
          </w:tcPr>
          <w:p w14:paraId="73746A2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HCM003</w:t>
            </w:r>
          </w:p>
        </w:tc>
        <w:tc>
          <w:tcPr>
            <w:tcW w:w="3174" w:type="dxa"/>
          </w:tcPr>
          <w:p w14:paraId="3BEF3F82"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272" w:type="dxa"/>
          </w:tcPr>
          <w:p w14:paraId="75285610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 w14:paraId="181E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 w:firstLine="105" w:firstLineChars="50"/>
        <w:textAlignment w:val="auto"/>
        <w:rPr>
          <w:rFonts w:eastAsia="微软雅黑"/>
          <w:b/>
          <w:bCs/>
          <w:szCs w:val="21"/>
        </w:rPr>
      </w:pPr>
    </w:p>
    <w:p w14:paraId="5BD65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textAlignment w:val="auto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 w14:paraId="48D5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textAlignment w:val="auto"/>
        <w:rPr>
          <w:kern w:val="0"/>
          <w:szCs w:val="21"/>
        </w:rPr>
      </w:pPr>
      <w:r>
        <w:rPr>
          <w:kern w:val="0"/>
          <w:szCs w:val="21"/>
        </w:rPr>
        <w:t>For the presumptive testing for</w:t>
      </w:r>
      <w:r>
        <w:rPr>
          <w:i w:val="0"/>
          <w:iCs w:val="0"/>
          <w:kern w:val="0"/>
          <w:szCs w:val="21"/>
        </w:rPr>
        <w:t xml:space="preserve"> coliform</w:t>
      </w:r>
      <w:r>
        <w:rPr>
          <w:kern w:val="0"/>
          <w:szCs w:val="21"/>
        </w:rPr>
        <w:t xml:space="preserve"> and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their selective enrichment in the examination of water, dairy products and foodstuffs</w:t>
      </w:r>
      <w:r>
        <w:rPr>
          <w:rFonts w:eastAsia="微软雅黑"/>
          <w:bCs/>
          <w:szCs w:val="21"/>
        </w:rPr>
        <w:t>.</w:t>
      </w:r>
    </w:p>
    <w:p w14:paraId="3907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textAlignment w:val="auto"/>
        <w:rPr>
          <w:rFonts w:eastAsia="微软雅黑"/>
          <w:b/>
          <w:bCs/>
          <w:szCs w:val="21"/>
        </w:rPr>
      </w:pPr>
    </w:p>
    <w:p w14:paraId="0771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textAlignment w:val="auto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 w14:paraId="24BD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textAlignment w:val="auto"/>
        <w:rPr>
          <w:kern w:val="0"/>
          <w:szCs w:val="21"/>
        </w:rPr>
      </w:pPr>
      <w:r>
        <w:rPr>
          <w:bCs/>
          <w:color w:val="000000"/>
          <w:szCs w:val="21"/>
        </w:rPr>
        <w:t>Tryptose or trypticase provides the nitrogen, carbon compounds, vitamins and amino acids. Lactose is the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fermentable sugar. Sodium lauryl sulphate inhibits organisms other than coliforms. Bile salts inhibit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gram-positive bacteria especially</w:t>
      </w:r>
      <w:r>
        <w:rPr>
          <w:bCs/>
          <w:i w:val="0"/>
          <w:iCs w:val="0"/>
          <w:color w:val="000000"/>
          <w:szCs w:val="21"/>
        </w:rPr>
        <w:t xml:space="preserve"> bacilli and faecal Streptococci</w:t>
      </w:r>
      <w:r>
        <w:rPr>
          <w:bCs/>
          <w:color w:val="000000"/>
          <w:szCs w:val="21"/>
        </w:rPr>
        <w:t>. Sodium chloride maintains the osmotic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balance of the medium. Potassium phosphates control the pH during fermentation of lactose. Lactose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positive bacteria metabolize lactose with gas formation, within 24 hour</w:t>
      </w:r>
      <w:r>
        <w:rPr>
          <w:rFonts w:hint="eastAsia"/>
          <w:bCs/>
          <w:color w:val="000000"/>
          <w:szCs w:val="21"/>
          <w:lang w:val="en-US" w:eastAsia="zh-CN"/>
        </w:rPr>
        <w:t>s</w:t>
      </w:r>
      <w:r>
        <w:rPr>
          <w:bCs/>
          <w:color w:val="000000"/>
          <w:szCs w:val="21"/>
        </w:rPr>
        <w:t xml:space="preserve"> or less is a presumptive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evidence of the presence of coliform bacteria</w:t>
      </w:r>
      <w:r>
        <w:rPr>
          <w:kern w:val="0"/>
          <w:szCs w:val="21"/>
        </w:rPr>
        <w:t>.</w:t>
      </w:r>
    </w:p>
    <w:p w14:paraId="4594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textAlignment w:val="auto"/>
        <w:rPr>
          <w:rFonts w:eastAsia="微软雅黑"/>
          <w:bCs/>
          <w:szCs w:val="21"/>
        </w:rPr>
      </w:pPr>
    </w:p>
    <w:p w14:paraId="4C4A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 w:firstLine="105" w:firstLineChars="50"/>
        <w:textAlignment w:val="auto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7"/>
        <w:tblpPr w:leftFromText="180" w:rightFromText="180" w:vertAnchor="text" w:tblpX="213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  <w:gridCol w:w="3501"/>
      </w:tblGrid>
      <w:tr w14:paraId="5FEB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9" w:type="dxa"/>
            <w:shd w:val="clear" w:color="auto" w:fill="FFFFFF"/>
            <w:vAlign w:val="center"/>
          </w:tcPr>
          <w:p w14:paraId="2ECB9F90"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501" w:type="dxa"/>
            <w:shd w:val="clear" w:color="auto" w:fill="FFFFFF"/>
            <w:vAlign w:val="center"/>
          </w:tcPr>
          <w:p w14:paraId="02A2A41F"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 w14:paraId="421E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79" w:type="dxa"/>
            <w:shd w:val="clear" w:color="auto" w:fill="FFFFFF"/>
            <w:vAlign w:val="center"/>
          </w:tcPr>
          <w:p w14:paraId="41033AFB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Tryptose or trypticase</w:t>
            </w:r>
          </w:p>
        </w:tc>
        <w:tc>
          <w:tcPr>
            <w:tcW w:w="3501" w:type="dxa"/>
            <w:shd w:val="clear" w:color="auto" w:fill="FFFFFF"/>
            <w:vAlign w:val="center"/>
          </w:tcPr>
          <w:p w14:paraId="2BCA90FA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20.0g</w:t>
            </w:r>
          </w:p>
        </w:tc>
      </w:tr>
      <w:tr w14:paraId="6CE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79" w:type="dxa"/>
            <w:shd w:val="clear" w:color="auto" w:fill="FFFFFF"/>
            <w:vAlign w:val="center"/>
          </w:tcPr>
          <w:p w14:paraId="3FBD8C09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Lactose</w:t>
            </w:r>
          </w:p>
        </w:tc>
        <w:tc>
          <w:tcPr>
            <w:tcW w:w="3501" w:type="dxa"/>
            <w:shd w:val="clear" w:color="auto" w:fill="FFFFFF"/>
            <w:vAlign w:val="center"/>
          </w:tcPr>
          <w:p w14:paraId="2EE40D6B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  <w:szCs w:val="21"/>
              </w:rPr>
              <w:t>.0g</w:t>
            </w:r>
          </w:p>
        </w:tc>
      </w:tr>
      <w:tr w14:paraId="7747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79" w:type="dxa"/>
            <w:shd w:val="clear" w:color="auto" w:fill="FFFFFF"/>
            <w:vAlign w:val="center"/>
          </w:tcPr>
          <w:p w14:paraId="1DD31370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Sodium chloride</w:t>
            </w:r>
          </w:p>
        </w:tc>
        <w:tc>
          <w:tcPr>
            <w:tcW w:w="3501" w:type="dxa"/>
            <w:shd w:val="clear" w:color="auto" w:fill="FFFFFF"/>
            <w:vAlign w:val="center"/>
          </w:tcPr>
          <w:p w14:paraId="4FA46798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 w14:paraId="093B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79" w:type="dxa"/>
            <w:shd w:val="clear" w:color="auto" w:fill="FFFFFF"/>
            <w:vAlign w:val="center"/>
          </w:tcPr>
          <w:p w14:paraId="35E37170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Potassium dihydrogen phosphate</w:t>
            </w:r>
          </w:p>
        </w:tc>
        <w:tc>
          <w:tcPr>
            <w:tcW w:w="3501" w:type="dxa"/>
            <w:shd w:val="clear" w:color="auto" w:fill="FFFFFF"/>
            <w:vAlign w:val="center"/>
          </w:tcPr>
          <w:p w14:paraId="0982964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2.75g</w:t>
            </w:r>
          </w:p>
        </w:tc>
      </w:tr>
      <w:tr w14:paraId="75D2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79" w:type="dxa"/>
            <w:shd w:val="clear" w:color="auto" w:fill="FFFFFF"/>
            <w:vAlign w:val="center"/>
          </w:tcPr>
          <w:p w14:paraId="3C183734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Dipotassium hydrogen phosphate</w:t>
            </w:r>
          </w:p>
        </w:tc>
        <w:tc>
          <w:tcPr>
            <w:tcW w:w="3501" w:type="dxa"/>
            <w:shd w:val="clear" w:color="auto" w:fill="FFFFFF"/>
            <w:vAlign w:val="center"/>
          </w:tcPr>
          <w:p w14:paraId="33BFFA92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2.75g</w:t>
            </w:r>
          </w:p>
        </w:tc>
      </w:tr>
      <w:tr w14:paraId="3337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79" w:type="dxa"/>
            <w:shd w:val="clear" w:color="auto" w:fill="FFFFFF"/>
            <w:vAlign w:val="center"/>
          </w:tcPr>
          <w:p w14:paraId="5A6D01F7">
            <w:pPr>
              <w:rPr>
                <w:bCs/>
                <w:color w:val="000000"/>
                <w:szCs w:val="21"/>
              </w:rPr>
            </w:pPr>
            <w:r>
              <w:t>Sodium lauryl sulfate</w:t>
            </w:r>
          </w:p>
        </w:tc>
        <w:tc>
          <w:tcPr>
            <w:tcW w:w="3501" w:type="dxa"/>
            <w:shd w:val="clear" w:color="auto" w:fill="FFFFFF"/>
            <w:vAlign w:val="center"/>
          </w:tcPr>
          <w:p w14:paraId="03E6BC7A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0.1g</w:t>
            </w:r>
          </w:p>
        </w:tc>
      </w:tr>
      <w:tr w14:paraId="435E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0" w:type="dxa"/>
            <w:gridSpan w:val="2"/>
            <w:shd w:val="clear" w:color="auto" w:fill="FFFFFF"/>
            <w:vAlign w:val="center"/>
          </w:tcPr>
          <w:p w14:paraId="60FC75D9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>6.8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 w14:paraId="71890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ind w:left="63" w:leftChars="30" w:right="0" w:rightChars="0"/>
        <w:textAlignment w:val="auto"/>
        <w:rPr>
          <w:b/>
          <w:bCs/>
          <w:szCs w:val="21"/>
        </w:rPr>
      </w:pPr>
    </w:p>
    <w:p w14:paraId="56103A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ind w:left="63" w:leftChars="30" w:right="0" w:rightChars="0"/>
        <w:textAlignment w:val="auto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 w14:paraId="52B85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63" w:leftChars="30" w:right="0" w:rightChars="0"/>
        <w:jc w:val="left"/>
        <w:textAlignment w:val="auto"/>
        <w:rPr>
          <w:kern w:val="0"/>
          <w:szCs w:val="21"/>
        </w:rPr>
      </w:pPr>
      <w:r>
        <w:rPr>
          <w:kern w:val="0"/>
          <w:szCs w:val="21"/>
        </w:rPr>
        <w:t>Dissolve 35.6g in 1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distilled or deionized water</w:t>
      </w:r>
      <w:r>
        <w:rPr>
          <w:kern w:val="0"/>
          <w:szCs w:val="21"/>
        </w:rPr>
        <w:t>. Distribute to convenient flasks or disspense 10m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 xml:space="preserve"> into each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test-tubes containing inverted Durham tubes. Sterilize by autoclaving at 121°C for 15 minutes. Cool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down slowly to prevent bubbles in Durham-tubes.</w:t>
      </w:r>
    </w:p>
    <w:p w14:paraId="56182E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ind w:left="63" w:leftChars="30" w:right="0" w:rightChars="0"/>
        <w:textAlignment w:val="auto"/>
        <w:rPr>
          <w:rFonts w:eastAsia="微软雅黑"/>
          <w:b/>
          <w:bCs/>
          <w:szCs w:val="21"/>
        </w:rPr>
      </w:pPr>
    </w:p>
    <w:p w14:paraId="10F961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ind w:left="63" w:leftChars="30" w:right="0" w:rightChars="0"/>
        <w:textAlignment w:val="auto"/>
        <w:rPr>
          <w:rFonts w:eastAsia="微软雅黑"/>
          <w:b/>
          <w:bCs/>
          <w:szCs w:val="21"/>
        </w:rPr>
      </w:pPr>
    </w:p>
    <w:p w14:paraId="071E5F44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1FA28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textAlignment w:val="auto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 w14:paraId="058F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" w:leftChars="30" w:right="0" w:rightChars="0"/>
        <w:jc w:val="left"/>
        <w:textAlignment w:val="auto"/>
        <w:rPr>
          <w:rFonts w:hint="eastAsia" w:eastAsia="微软雅黑"/>
          <w:szCs w:val="21"/>
          <w:lang w:val="en-US" w:eastAsia="zh-CN"/>
        </w:rPr>
      </w:pPr>
      <w:r>
        <w:rPr>
          <w:rFonts w:eastAsia="微软雅黑"/>
          <w:szCs w:val="21"/>
        </w:rPr>
        <w:t>Cultural characteristics observed after incubation at 35-37°C for</w:t>
      </w:r>
      <w:r>
        <w:rPr>
          <w:rFonts w:hint="eastAsia" w:eastAsia="微软雅黑"/>
          <w:szCs w:val="21"/>
          <w:lang w:val="en-US" w:eastAsia="zh-CN"/>
        </w:rPr>
        <w:t>18~</w:t>
      </w:r>
      <w:r>
        <w:rPr>
          <w:rFonts w:eastAsia="微软雅黑"/>
          <w:szCs w:val="21"/>
        </w:rPr>
        <w:t xml:space="preserve"> 24 hours</w:t>
      </w:r>
      <w:r>
        <w:rPr>
          <w:rFonts w:hint="eastAsia" w:eastAsia="微软雅黑"/>
          <w:szCs w:val="21"/>
          <w:lang w:val="en-US" w:eastAsia="zh-CN"/>
        </w:rPr>
        <w:t>.</w:t>
      </w:r>
    </w:p>
    <w:tbl>
      <w:tblPr>
        <w:tblStyle w:val="7"/>
        <w:tblpPr w:leftFromText="180" w:rightFromText="180" w:vertAnchor="text" w:horzAnchor="margin" w:tblpX="183" w:tblpY="55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1770"/>
        <w:gridCol w:w="2706"/>
        <w:gridCol w:w="1574"/>
      </w:tblGrid>
      <w:tr w14:paraId="17C8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470" w:type="dxa"/>
            <w:vMerge w:val="restart"/>
            <w:shd w:val="clear" w:color="auto" w:fill="FFFFFF"/>
            <w:vAlign w:val="center"/>
          </w:tcPr>
          <w:p w14:paraId="2B539C62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5D0CDE06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Approx Inoculum(CFU)</w:t>
            </w:r>
          </w:p>
        </w:tc>
        <w:tc>
          <w:tcPr>
            <w:tcW w:w="4280" w:type="dxa"/>
            <w:gridSpan w:val="2"/>
            <w:shd w:val="clear" w:color="auto" w:fill="FFFFFF"/>
          </w:tcPr>
          <w:p w14:paraId="7D09D248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t>Expected Results</w:t>
            </w:r>
          </w:p>
        </w:tc>
      </w:tr>
      <w:tr w14:paraId="2541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70" w:type="dxa"/>
            <w:vMerge w:val="continue"/>
            <w:shd w:val="clear" w:color="auto" w:fill="FFFFFF"/>
            <w:vAlign w:val="center"/>
          </w:tcPr>
          <w:p w14:paraId="446665DE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shd w:val="clear" w:color="auto" w:fill="FFFFFF"/>
            <w:vAlign w:val="center"/>
          </w:tcPr>
          <w:p w14:paraId="69074AB1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2706" w:type="dxa"/>
            <w:shd w:val="clear" w:color="auto" w:fill="FFFFFF"/>
          </w:tcPr>
          <w:p w14:paraId="775E884C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t>Growth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545D4450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t>Gas</w:t>
            </w:r>
          </w:p>
        </w:tc>
      </w:tr>
      <w:tr w14:paraId="5808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0" w:type="dxa"/>
            <w:shd w:val="clear" w:color="auto" w:fill="FFFFFF"/>
            <w:vAlign w:val="center"/>
          </w:tcPr>
          <w:p w14:paraId="2A2FF30A">
            <w:pPr>
              <w:spacing w:line="320" w:lineRule="exact"/>
              <w:jc w:val="center"/>
              <w:rPr>
                <w:rFonts w:eastAsia="微软雅黑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>ATCC25922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290B58E1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10-100</w:t>
            </w:r>
          </w:p>
        </w:tc>
        <w:tc>
          <w:tcPr>
            <w:tcW w:w="2706" w:type="dxa"/>
            <w:shd w:val="clear" w:color="auto" w:fill="FFFFFF"/>
            <w:vAlign w:val="center"/>
          </w:tcPr>
          <w:p w14:paraId="79E10DA8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Turbid growth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7EB08ED0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Positive</w:t>
            </w:r>
          </w:p>
        </w:tc>
      </w:tr>
      <w:tr w14:paraId="5C31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0" w:type="dxa"/>
            <w:shd w:val="clear" w:color="auto" w:fill="FFFFFF"/>
            <w:vAlign w:val="center"/>
          </w:tcPr>
          <w:p w14:paraId="5E902525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Salmonella typhimurium</w:t>
            </w:r>
            <w:r>
              <w:rPr>
                <w:rFonts w:hint="eastAsia" w:eastAsia="微软雅黑"/>
                <w:iCs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>ATCC14028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40EEAD2A">
            <w:pPr>
              <w:spacing w:line="320" w:lineRule="exact"/>
              <w:jc w:val="center"/>
              <w:rPr>
                <w:rFonts w:hint="eastAsia" w:eastAsia="微软雅黑"/>
                <w:szCs w:val="21"/>
                <w:lang w:eastAsia="zh-CN"/>
              </w:rPr>
            </w:pPr>
            <w:r>
              <w:rPr>
                <w:rFonts w:eastAsia="微软雅黑"/>
                <w:szCs w:val="21"/>
              </w:rPr>
              <w:t>&gt;10</w:t>
            </w:r>
            <w:r>
              <w:rPr>
                <w:rFonts w:hint="eastAsia" w:eastAsia="微软雅黑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2706" w:type="dxa"/>
            <w:shd w:val="clear" w:color="auto" w:fill="FFFFFF"/>
            <w:vAlign w:val="center"/>
          </w:tcPr>
          <w:p w14:paraId="57AF56D0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Turbid growth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409570D4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Negative</w:t>
            </w:r>
          </w:p>
        </w:tc>
      </w:tr>
      <w:tr w14:paraId="2576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0" w:type="dxa"/>
            <w:shd w:val="clear" w:color="auto" w:fill="FFFFFF"/>
            <w:vAlign w:val="center"/>
          </w:tcPr>
          <w:p w14:paraId="2681D6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Staphylococcus aureus </w:t>
            </w:r>
            <w:r>
              <w:rPr>
                <w:rFonts w:hint="eastAsia"/>
                <w:szCs w:val="21"/>
              </w:rPr>
              <w:t>ATCC6538</w:t>
            </w:r>
            <w:bookmarkStart w:id="0" w:name="_GoBack"/>
            <w:bookmarkEnd w:id="0"/>
          </w:p>
        </w:tc>
        <w:tc>
          <w:tcPr>
            <w:tcW w:w="1770" w:type="dxa"/>
            <w:shd w:val="clear" w:color="auto" w:fill="FFFFFF"/>
            <w:vAlign w:val="center"/>
          </w:tcPr>
          <w:p w14:paraId="53492ABB">
            <w:pPr>
              <w:spacing w:line="320" w:lineRule="exact"/>
              <w:jc w:val="center"/>
              <w:rPr>
                <w:rFonts w:hint="eastAsia" w:eastAsia="微软雅黑"/>
                <w:szCs w:val="21"/>
                <w:lang w:eastAsia="zh-CN"/>
              </w:rPr>
            </w:pPr>
            <w:r>
              <w:rPr>
                <w:rFonts w:eastAsia="微软雅黑"/>
                <w:szCs w:val="21"/>
              </w:rPr>
              <w:t>&gt;10</w:t>
            </w:r>
            <w:r>
              <w:rPr>
                <w:rFonts w:hint="eastAsia" w:eastAsia="微软雅黑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2706" w:type="dxa"/>
            <w:shd w:val="clear" w:color="auto" w:fill="FFFFFF"/>
            <w:vAlign w:val="center"/>
          </w:tcPr>
          <w:p w14:paraId="31BD5A44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Partial to complete</w:t>
            </w:r>
            <w:r>
              <w:rPr>
                <w:rFonts w:hint="eastAsia" w:eastAsia="微软雅黑"/>
                <w:szCs w:val="21"/>
              </w:rPr>
              <w:t xml:space="preserve"> </w:t>
            </w:r>
            <w:r>
              <w:rPr>
                <w:rFonts w:eastAsia="微软雅黑"/>
                <w:szCs w:val="21"/>
              </w:rPr>
              <w:t>inhibition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20A4872A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Negative</w:t>
            </w:r>
          </w:p>
        </w:tc>
      </w:tr>
    </w:tbl>
    <w:p w14:paraId="116E6BB4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7B906121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 w14:paraId="336EEF8D">
      <w:pPr>
        <w:spacing w:line="320" w:lineRule="exact"/>
        <w:ind w:right="0" w:rightChars="0" w:firstLine="105" w:firstLineChars="50"/>
        <w:rPr>
          <w:rFonts w:eastAsia="微软雅黑"/>
          <w:szCs w:val="21"/>
        </w:rPr>
      </w:pPr>
      <w:r>
        <w:rPr>
          <w:rFonts w:hint="eastAsia" w:eastAsia="微软雅黑"/>
          <w:szCs w:val="21"/>
          <w:lang w:val="en-US" w:eastAsia="zh-CN"/>
        </w:rPr>
        <w:t xml:space="preserve">1. Store the </w:t>
      </w:r>
      <w:r>
        <w:rPr>
          <w:rFonts w:hint="eastAsia" w:eastAsia="微软雅黑"/>
          <w:bCs/>
          <w:szCs w:val="21"/>
          <w:lang w:val="en-US" w:eastAsia="zh-CN"/>
        </w:rPr>
        <w:t>d</w:t>
      </w:r>
      <w:r>
        <w:rPr>
          <w:rFonts w:eastAsia="微软雅黑"/>
          <w:bCs/>
          <w:szCs w:val="21"/>
        </w:rPr>
        <w:t xml:space="preserve">ehydrated </w:t>
      </w:r>
      <w:r>
        <w:rPr>
          <w:rFonts w:hint="eastAsia" w:eastAsia="微软雅黑"/>
          <w:bCs/>
          <w:szCs w:val="21"/>
          <w:lang w:val="en-US" w:eastAsia="zh-CN"/>
        </w:rPr>
        <w:t>c</w:t>
      </w:r>
      <w:r>
        <w:rPr>
          <w:rFonts w:eastAsia="微软雅黑"/>
          <w:bCs/>
          <w:szCs w:val="21"/>
        </w:rPr>
        <w:t xml:space="preserve">ulture </w:t>
      </w:r>
      <w:r>
        <w:rPr>
          <w:rFonts w:hint="eastAsia" w:eastAsia="微软雅黑"/>
          <w:bCs/>
          <w:szCs w:val="21"/>
          <w:lang w:val="en-US" w:eastAsia="zh-CN"/>
        </w:rPr>
        <w:t>m</w:t>
      </w:r>
      <w:r>
        <w:rPr>
          <w:rFonts w:eastAsia="微软雅黑"/>
          <w:bCs/>
          <w:szCs w:val="21"/>
        </w:rPr>
        <w:t>edium</w:t>
      </w:r>
      <w:r>
        <w:rPr>
          <w:rFonts w:hint="eastAsia" w:eastAsia="微软雅黑"/>
          <w:szCs w:val="21"/>
          <w:lang w:val="en-US" w:eastAsia="zh-CN"/>
        </w:rPr>
        <w:t xml:space="preserve"> at 2-30</w:t>
      </w:r>
      <w:r>
        <w:rPr>
          <w:rFonts w:eastAsia="微软雅黑"/>
          <w:szCs w:val="21"/>
        </w:rPr>
        <w:t>°C</w:t>
      </w:r>
      <w:r>
        <w:rPr>
          <w:rFonts w:hint="eastAsia" w:eastAsia="微软雅黑"/>
          <w:szCs w:val="21"/>
          <w:lang w:val="en-US" w:eastAsia="zh-CN"/>
        </w:rPr>
        <w:t>. Ke</w:t>
      </w:r>
      <w:r>
        <w:rPr>
          <w:rFonts w:eastAsia="微软雅黑"/>
          <w:szCs w:val="21"/>
        </w:rPr>
        <w:t>ep container tightly closed</w:t>
      </w:r>
      <w:r>
        <w:rPr>
          <w:rFonts w:hint="eastAsia" w:eastAsia="微软雅黑"/>
          <w:szCs w:val="21"/>
          <w:lang w:val="en-US" w:eastAsia="zh-CN"/>
        </w:rPr>
        <w:t xml:space="preserve"> and </w:t>
      </w:r>
      <w:r>
        <w:rPr>
          <w:rFonts w:eastAsia="微软雅黑"/>
          <w:szCs w:val="21"/>
        </w:rPr>
        <w:t>avoid direct sunlight.</w:t>
      </w:r>
    </w:p>
    <w:p w14:paraId="6E520D2F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hint="eastAsia" w:eastAsia="微软雅黑"/>
          <w:szCs w:val="21"/>
          <w:lang w:val="en-US" w:eastAsia="zh-CN"/>
        </w:rPr>
        <w:t xml:space="preserve">2. </w:t>
      </w:r>
      <w:r>
        <w:rPr>
          <w:rFonts w:eastAsia="微软雅黑"/>
          <w:szCs w:val="21"/>
        </w:rPr>
        <w:t>Use before expiry date on the label.</w:t>
      </w:r>
    </w:p>
    <w:p w14:paraId="7E7F9C35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 w14:paraId="2AA208B7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 w14:paraId="7BD42E9B">
      <w:pPr>
        <w:spacing w:line="320" w:lineRule="exact"/>
        <w:ind w:firstLine="105" w:firstLineChars="50"/>
        <w:rPr>
          <w:rFonts w:hint="eastAsia" w:eastAsia="微软雅黑"/>
          <w:szCs w:val="21"/>
          <w:lang w:val="en-US" w:eastAsia="zh-CN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  <w:r>
        <w:rPr>
          <w:rFonts w:hint="eastAsia" w:eastAsia="微软雅黑"/>
          <w:szCs w:val="21"/>
          <w:lang w:val="en-US" w:eastAsia="zh-CN"/>
        </w:rPr>
        <w:t>.</w:t>
      </w:r>
    </w:p>
    <w:p w14:paraId="4D33CBC4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 w14:paraId="5979AA15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70D92B7A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 w14:paraId="769BB6AA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 w14:paraId="0435FBD3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 w14:paraId="4D9FCA38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 w14:paraId="1422B5A1">
      <w:pPr>
        <w:spacing w:line="320" w:lineRule="exact"/>
        <w:ind w:firstLine="105" w:firstLineChars="50"/>
        <w:rPr>
          <w:rFonts w:hint="eastAsia" w:eastAsiaTheme="minorEastAsia"/>
          <w:szCs w:val="21"/>
          <w:lang w:val="en-US" w:eastAsia="zh-CN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</w:t>
      </w:r>
      <w:r>
        <w:rPr>
          <w:rFonts w:hint="eastAsia" w:eastAsia="微软雅黑"/>
          <w:szCs w:val="21"/>
          <w:lang w:val="en-US" w:eastAsia="zh-CN"/>
        </w:rPr>
        <w:t>1</w:t>
      </w:r>
      <w:r>
        <w:rPr>
          <w:rFonts w:eastAsia="微软雅黑"/>
          <w:szCs w:val="21"/>
        </w:rPr>
        <w:t>, 20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5</w:t>
      </w:r>
    </w:p>
    <w:p w14:paraId="76148D54">
      <w:pPr>
        <w:spacing w:line="320" w:lineRule="exact"/>
        <w:ind w:firstLine="105" w:firstLineChars="50"/>
        <w:rPr>
          <w:rFonts w:eastAsia="微软雅黑"/>
          <w:szCs w:val="21"/>
        </w:rPr>
      </w:pPr>
    </w:p>
    <w:p w14:paraId="21267C65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 w14:paraId="369A8670">
      <w:pPr>
        <w:autoSpaceDE w:val="0"/>
        <w:autoSpaceDN w:val="0"/>
        <w:adjustRightInd w:val="0"/>
        <w:ind w:left="105" w:leftChars="5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1. </w:t>
      </w:r>
      <w:r>
        <w:t>ISO</w:t>
      </w:r>
      <w:r>
        <w:rPr>
          <w:rFonts w:hint="eastAsia"/>
          <w:lang w:val="en-US" w:eastAsia="zh-CN"/>
        </w:rPr>
        <w:t xml:space="preserve"> </w:t>
      </w:r>
      <w:r>
        <w:t>4831</w:t>
      </w:r>
      <w:r>
        <w:rPr>
          <w:rFonts w:hint="eastAsia"/>
          <w:lang w:val="en-US" w:eastAsia="zh-CN"/>
        </w:rPr>
        <w:t xml:space="preserve">: </w:t>
      </w:r>
      <w:r>
        <w:t>2006</w:t>
      </w:r>
      <w:r>
        <w:rPr>
          <w:rFonts w:hint="eastAsia"/>
          <w:lang w:val="en-US" w:eastAsia="zh-CN"/>
        </w:rPr>
        <w:t>, M</w:t>
      </w:r>
      <w:r>
        <w:t>ic</w:t>
      </w:r>
      <w:r>
        <w:rPr>
          <w:rFonts w:hint="eastAsia"/>
        </w:rPr>
        <w:t>r</w:t>
      </w:r>
      <w:r>
        <w:t xml:space="preserve">obiology of food and animal feeding stuffs </w:t>
      </w:r>
      <w:r>
        <w:rPr>
          <w:rFonts w:hint="eastAsia"/>
          <w:lang w:val="en-US" w:eastAsia="zh-CN"/>
        </w:rPr>
        <w:t>-</w:t>
      </w:r>
      <w:r>
        <w:t xml:space="preserve"> Horizontal method for the</w:t>
      </w:r>
      <w:r>
        <w:rPr>
          <w:rFonts w:hint="eastAsia"/>
        </w:rPr>
        <w:t xml:space="preserve"> </w:t>
      </w:r>
      <w:r>
        <w:t>detect</w:t>
      </w:r>
      <w:r>
        <w:rPr>
          <w:rFonts w:hint="eastAsia"/>
        </w:rPr>
        <w:t>i</w:t>
      </w:r>
      <w:r>
        <w:t xml:space="preserve">on and enumeration of </w:t>
      </w:r>
      <w:r>
        <w:rPr>
          <w:i w:val="0"/>
          <w:iCs w:val="0"/>
        </w:rPr>
        <w:t>coliforms</w:t>
      </w:r>
      <w:r>
        <w:t xml:space="preserve"> - Most probable number technique</w:t>
      </w:r>
      <w:r>
        <w:rPr>
          <w:rFonts w:hint="eastAsia"/>
          <w:lang w:val="en-US" w:eastAsia="zh-CN"/>
        </w:rPr>
        <w:t>.</w:t>
      </w:r>
    </w:p>
    <w:p w14:paraId="2ADE08E8">
      <w:pPr>
        <w:autoSpaceDE w:val="0"/>
        <w:autoSpaceDN w:val="0"/>
        <w:adjustRightInd w:val="0"/>
        <w:ind w:left="105" w:leftChars="50"/>
        <w:jc w:val="left"/>
      </w:pPr>
      <w:r>
        <w:rPr>
          <w:rFonts w:hint="eastAsia"/>
          <w:lang w:val="en-US" w:eastAsia="zh-CN"/>
        </w:rPr>
        <w:t xml:space="preserve">2. </w:t>
      </w:r>
      <w:r>
        <w:t>ISO7251</w:t>
      </w:r>
      <w:r>
        <w:rPr>
          <w:rFonts w:hint="eastAsia"/>
          <w:lang w:val="en-US" w:eastAsia="zh-CN"/>
        </w:rPr>
        <w:t xml:space="preserve">: </w:t>
      </w:r>
      <w:r>
        <w:t>2005</w:t>
      </w:r>
      <w:r>
        <w:rPr>
          <w:rFonts w:hint="eastAsia"/>
          <w:lang w:val="en-US" w:eastAsia="zh-CN"/>
        </w:rPr>
        <w:t>,</w:t>
      </w:r>
      <w:r>
        <w:t xml:space="preserve"> m</w:t>
      </w:r>
      <w:r>
        <w:rPr>
          <w:rFonts w:hint="eastAsia"/>
          <w:lang w:val="en-US" w:eastAsia="zh-CN"/>
        </w:rPr>
        <w:t>M</w:t>
      </w:r>
      <w:r>
        <w:t>ic</w:t>
      </w:r>
      <w:r>
        <w:rPr>
          <w:rFonts w:hint="eastAsia"/>
        </w:rPr>
        <w:t>r</w:t>
      </w:r>
      <w:r>
        <w:t>obiology of food and animal feeding stuffs - Horizontal method for the</w:t>
      </w:r>
      <w:r>
        <w:rPr>
          <w:rFonts w:hint="eastAsia"/>
        </w:rPr>
        <w:t xml:space="preserve"> </w:t>
      </w:r>
      <w:r>
        <w:t>detect</w:t>
      </w:r>
      <w:r>
        <w:rPr>
          <w:rFonts w:hint="eastAsia"/>
        </w:rPr>
        <w:t>i</w:t>
      </w:r>
      <w:r>
        <w:t xml:space="preserve">on and enumeration of presumptive </w:t>
      </w:r>
      <w:r>
        <w:rPr>
          <w:i/>
          <w:iCs/>
        </w:rPr>
        <w:t>Escherichia coli</w:t>
      </w:r>
      <w:r>
        <w:t xml:space="preserve"> - Most probable number technique</w:t>
      </w:r>
      <w:r>
        <w:rPr>
          <w:rFonts w:hint="eastAsia"/>
        </w:rPr>
        <w:t>.</w:t>
      </w:r>
    </w:p>
    <w:p w14:paraId="60106A55">
      <w:pPr>
        <w:autoSpaceDE w:val="0"/>
        <w:autoSpaceDN w:val="0"/>
        <w:adjustRightInd w:val="0"/>
        <w:ind w:left="105" w:leftChars="50"/>
        <w:jc w:val="left"/>
      </w:pPr>
      <w:r>
        <w:rPr>
          <w:rFonts w:hint="eastAsia"/>
          <w:lang w:val="en-US" w:eastAsia="zh-CN"/>
        </w:rPr>
        <w:t xml:space="preserve">3. </w:t>
      </w:r>
      <w:r>
        <w:t>BAM Media M76: Lauryl Tryptose (LST) Broth.</w:t>
      </w:r>
    </w:p>
    <w:p w14:paraId="2EA2DAFC">
      <w:pPr>
        <w:autoSpaceDE w:val="0"/>
        <w:autoSpaceDN w:val="0"/>
        <w:adjustRightInd w:val="0"/>
        <w:ind w:left="105" w:leftChars="50"/>
        <w:jc w:val="left"/>
        <w:rPr>
          <w:rFonts w:eastAsia="微软雅黑"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C408F"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328FE">
    <w:pPr>
      <w:pStyle w:val="5"/>
      <w:pBdr>
        <w:bottom w:val="none" w:color="auto" w:sz="0" w:space="1"/>
      </w:pBdr>
    </w:pPr>
    <w:r>
      <w:rPr>
        <w:rFonts w:hint="eastAsia" w:ascii="微软雅黑" w:hAnsi="微软雅黑" w:eastAsia="微软雅黑" w:cs="微软雅黑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1E69D9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E30"/>
    <w:rsid w:val="00417F69"/>
    <w:rsid w:val="004260F9"/>
    <w:rsid w:val="00452368"/>
    <w:rsid w:val="0045701E"/>
    <w:rsid w:val="004721B8"/>
    <w:rsid w:val="0048556A"/>
    <w:rsid w:val="00485AD1"/>
    <w:rsid w:val="00493F9D"/>
    <w:rsid w:val="00495F39"/>
    <w:rsid w:val="004A0D30"/>
    <w:rsid w:val="004B0299"/>
    <w:rsid w:val="004E2A8E"/>
    <w:rsid w:val="004E5741"/>
    <w:rsid w:val="00513385"/>
    <w:rsid w:val="00516DB5"/>
    <w:rsid w:val="00543E5A"/>
    <w:rsid w:val="00544E22"/>
    <w:rsid w:val="00546E31"/>
    <w:rsid w:val="00563EAE"/>
    <w:rsid w:val="00567D4C"/>
    <w:rsid w:val="0057559B"/>
    <w:rsid w:val="0058168F"/>
    <w:rsid w:val="0058412E"/>
    <w:rsid w:val="005A1195"/>
    <w:rsid w:val="005A6C4C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4011F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150A"/>
    <w:rsid w:val="00F036FD"/>
    <w:rsid w:val="00F066DC"/>
    <w:rsid w:val="00F06E07"/>
    <w:rsid w:val="00F17718"/>
    <w:rsid w:val="00F25220"/>
    <w:rsid w:val="00F2683C"/>
    <w:rsid w:val="00F4125B"/>
    <w:rsid w:val="00F425C6"/>
    <w:rsid w:val="00F43748"/>
    <w:rsid w:val="00F6082C"/>
    <w:rsid w:val="00F650E7"/>
    <w:rsid w:val="00F663BC"/>
    <w:rsid w:val="00F667E4"/>
    <w:rsid w:val="00F72E81"/>
    <w:rsid w:val="00F84014"/>
    <w:rsid w:val="00F94DEB"/>
    <w:rsid w:val="00FA204C"/>
    <w:rsid w:val="00FD19E2"/>
    <w:rsid w:val="00FD4F3C"/>
    <w:rsid w:val="00FD6A0D"/>
    <w:rsid w:val="00FD769B"/>
    <w:rsid w:val="00FE2E1A"/>
    <w:rsid w:val="095E025C"/>
    <w:rsid w:val="10FD1C16"/>
    <w:rsid w:val="156C736A"/>
    <w:rsid w:val="1D0E3526"/>
    <w:rsid w:val="1DC553A0"/>
    <w:rsid w:val="30B10169"/>
    <w:rsid w:val="324E1E79"/>
    <w:rsid w:val="33B26A00"/>
    <w:rsid w:val="364C2B74"/>
    <w:rsid w:val="36C32413"/>
    <w:rsid w:val="38D9641D"/>
    <w:rsid w:val="45B352DC"/>
    <w:rsid w:val="489C4AEB"/>
    <w:rsid w:val="50BD049E"/>
    <w:rsid w:val="51A13431"/>
    <w:rsid w:val="53405885"/>
    <w:rsid w:val="5E087BE1"/>
    <w:rsid w:val="60C14A11"/>
    <w:rsid w:val="67A27F96"/>
    <w:rsid w:val="67FA1B80"/>
    <w:rsid w:val="70420484"/>
    <w:rsid w:val="71B73330"/>
    <w:rsid w:val="736F596B"/>
    <w:rsid w:val="7AE446F6"/>
    <w:rsid w:val="7C6B4F90"/>
    <w:rsid w:val="7C8D2AD0"/>
    <w:rsid w:val="7CD40F40"/>
    <w:rsid w:val="CFF36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2225</Characters>
  <Lines>18</Lines>
  <Paragraphs>5</Paragraphs>
  <TotalTime>30</TotalTime>
  <ScaleCrop>false</ScaleCrop>
  <LinksUpToDate>false</LinksUpToDate>
  <CharactersWithSpaces>2523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2024-11-05T12:00:00Z</dcterms:created>
  <dc:creator>huankai1</dc:creator>
  <cp:lastModifiedBy>liyanchang</cp:lastModifiedBy>
  <cp:lastPrinted>2019-05-14T15:26:00Z</cp:lastPrinted>
  <dcterms:modified xsi:type="dcterms:W3CDTF">2025-06-17T06:16:00Z</dcterms:modified>
  <dc:title>CRM012　金黄色葡萄球菌显色培养基说明书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EEA4FA7617ED46B397232B3D1562B7E3_13</vt:lpwstr>
  </property>
  <property fmtid="{D5CDD505-2E9C-101B-9397-08002B2CF9AE}" pid="4" name="KSOTemplateDocerSaveRecord">
    <vt:lpwstr>eyJoZGlkIjoiYWJmNzJjZDE4NjI4OTJiZTYxN2JhMjRjYTI2MTZhY2EiLCJ1c2VySWQiOiIxMDc4MTQyMzMzIn0=</vt:lpwstr>
  </property>
</Properties>
</file>